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726357">
        <w:rPr>
          <w:rFonts w:ascii="Times New Roman" w:hAnsi="Times New Roman" w:cs="Times New Roman"/>
        </w:rPr>
        <w:t>39</w:t>
      </w:r>
      <w:r w:rsidR="00290C76" w:rsidRPr="00EB4107">
        <w:rPr>
          <w:rFonts w:ascii="Times New Roman" w:hAnsi="Times New Roman" w:cs="Times New Roman"/>
        </w:rPr>
        <w:t>»</w:t>
      </w:r>
      <w:r w:rsidR="00726357">
        <w:rPr>
          <w:rFonts w:ascii="Times New Roman" w:hAnsi="Times New Roman" w:cs="Times New Roman"/>
        </w:rPr>
        <w:t xml:space="preserve"> 14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3D6E3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726357">
        <w:rPr>
          <w:rFonts w:ascii="Times New Roman" w:hAnsi="Times New Roman" w:cs="Times New Roman"/>
        </w:rPr>
        <w:t>14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726357">
        <w:rPr>
          <w:rFonts w:ascii="Times New Roman" w:hAnsi="Times New Roman" w:cs="Times New Roman"/>
        </w:rPr>
        <w:t>39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C06740" w:rsidRDefault="00C06740" w:rsidP="00084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357" w:rsidRPr="00607955" w:rsidRDefault="00726357" w:rsidP="00726357">
      <w:pPr>
        <w:keepNext/>
        <w:ind w:firstLine="709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07955">
        <w:rPr>
          <w:rFonts w:ascii="Times New Roman" w:hAnsi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726357" w:rsidRPr="00607955" w:rsidRDefault="00726357" w:rsidP="00726357">
      <w:pPr>
        <w:widowControl w:val="0"/>
        <w:ind w:firstLine="709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07955">
        <w:rPr>
          <w:rFonts w:ascii="Times New Roman" w:hAnsi="Times New Roman"/>
          <w:b/>
          <w:bCs/>
          <w:spacing w:val="60"/>
          <w:sz w:val="28"/>
          <w:szCs w:val="28"/>
        </w:rPr>
        <w:t xml:space="preserve">ПОСТАНОВЛЕНИЕ </w:t>
      </w:r>
    </w:p>
    <w:tbl>
      <w:tblPr>
        <w:tblW w:w="9769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2"/>
        <w:gridCol w:w="720"/>
        <w:gridCol w:w="1478"/>
        <w:gridCol w:w="2793"/>
        <w:gridCol w:w="3166"/>
      </w:tblGrid>
      <w:tr w:rsidR="00726357" w:rsidRPr="00607955" w:rsidTr="001B4B66">
        <w:trPr>
          <w:trHeight w:val="41"/>
        </w:trPr>
        <w:tc>
          <w:tcPr>
            <w:tcW w:w="97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26357" w:rsidRPr="00607955" w:rsidRDefault="00726357" w:rsidP="001B4B66">
            <w:pPr>
              <w:widowControl w:val="0"/>
              <w:tabs>
                <w:tab w:val="left" w:pos="2995"/>
              </w:tabs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726357" w:rsidRPr="00607955" w:rsidTr="001B4B66">
        <w:trPr>
          <w:trHeight w:val="326"/>
        </w:trPr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14.05.2024</w:t>
            </w:r>
          </w:p>
        </w:tc>
        <w:tc>
          <w:tcPr>
            <w:tcW w:w="720" w:type="dxa"/>
          </w:tcPr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</w:t>
            </w:r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>-п</w:t>
            </w:r>
          </w:p>
        </w:tc>
        <w:tc>
          <w:tcPr>
            <w:tcW w:w="2793" w:type="dxa"/>
          </w:tcPr>
          <w:p w:rsidR="00726357" w:rsidRPr="00607955" w:rsidRDefault="00726357" w:rsidP="001B4B66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hideMark/>
          </w:tcPr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6357" w:rsidRPr="00607955" w:rsidRDefault="00726357" w:rsidP="001B4B66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726357" w:rsidRDefault="00726357" w:rsidP="0072635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726357" w:rsidRPr="00D707FA" w:rsidRDefault="00726357" w:rsidP="0072635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726357" w:rsidRPr="00D707FA" w:rsidRDefault="00726357" w:rsidP="007263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7F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27 ноября 2017 года № 147-п «Об утверждении административного регламента предоставления муниципальной услуги «Выдача, продление и закрытие ордера на производство работ,</w:t>
      </w:r>
    </w:p>
    <w:p w:rsidR="00726357" w:rsidRPr="00D707FA" w:rsidRDefault="00726357" w:rsidP="00726357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D707FA">
        <w:rPr>
          <w:rFonts w:ascii="Times New Roman" w:hAnsi="Times New Roman" w:cs="Times New Roman"/>
          <w:sz w:val="28"/>
          <w:szCs w:val="28"/>
        </w:rPr>
        <w:t>определенных правилами благоустройства на территории Большегривского городского  поселения Нововаршавского муниципального района Омской области»</w:t>
      </w:r>
    </w:p>
    <w:p w:rsidR="00726357" w:rsidRPr="00607955" w:rsidRDefault="00726357" w:rsidP="0072635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Pr="00607955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Нововаршавского муниципального района Омской области, ПОСТАНОВЛЯЮ:</w:t>
      </w:r>
    </w:p>
    <w:p w:rsidR="00726357" w:rsidRDefault="00726357" w:rsidP="007263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7FA">
        <w:rPr>
          <w:rFonts w:ascii="Times New Roman" w:hAnsi="Times New Roman" w:cs="Times New Roman"/>
          <w:b w:val="0"/>
          <w:sz w:val="28"/>
          <w:szCs w:val="28"/>
        </w:rPr>
        <w:t>1. В административный регламент  предоставления муниципальной услуги «Выдача, продление и закрытие ордера на производство 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>определенных правилами благоустройства на территории Большегривского городского  поселения Нововаршавского муниципального района Омской области», утвержденный постановлением Администрации Большегривского городского поселения Нововаршавского муниципального района Омской области от 27 ноября 2017 года № 147-п «Об утверждении административного регламента предоставления муниципальной услуги «Выдача, продление и закрытие ордера на производство 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определенных правилами </w:t>
      </w:r>
    </w:p>
    <w:p w:rsidR="00726357" w:rsidRDefault="00726357" w:rsidP="00726357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726357" w:rsidRPr="00726357" w:rsidRDefault="00726357" w:rsidP="007263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6357">
        <w:rPr>
          <w:rFonts w:ascii="Times New Roman" w:hAnsi="Times New Roman" w:cs="Times New Roman"/>
          <w:b w:val="0"/>
          <w:sz w:val="24"/>
          <w:szCs w:val="24"/>
        </w:rPr>
        <w:lastRenderedPageBreak/>
        <w:t>Стр. 1* 14 мая 2024 г.  *Нововаршавский муниципальный вестник* №39*</w:t>
      </w:r>
    </w:p>
    <w:p w:rsidR="00726357" w:rsidRPr="00D707FA" w:rsidRDefault="00726357" w:rsidP="007263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7FA">
        <w:rPr>
          <w:rFonts w:ascii="Times New Roman" w:hAnsi="Times New Roman" w:cs="Times New Roman"/>
          <w:b w:val="0"/>
          <w:sz w:val="28"/>
          <w:szCs w:val="28"/>
        </w:rPr>
        <w:t>благоустройства на территории Большегривского городского  поселения Нововаршавского муниципального района Омской области», внести следующие изменения:</w:t>
      </w: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55">
        <w:rPr>
          <w:rFonts w:ascii="Times New Roman" w:hAnsi="Times New Roman" w:cs="Times New Roman"/>
          <w:sz w:val="28"/>
          <w:szCs w:val="28"/>
        </w:rPr>
        <w:t>1)  пункт 30 дополнить подпунктом 3 следующего содержания:</w:t>
      </w: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 «3) наличие угрозы повреждения воинских захоронений при проведении земляных работ.». </w:t>
      </w: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Pr="00607955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 в информационно-телекоммуникационной сети «Интернет».</w:t>
      </w:r>
    </w:p>
    <w:p w:rsidR="00726357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726357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Pr="00607955" w:rsidRDefault="00726357" w:rsidP="00726357">
      <w:pPr>
        <w:pStyle w:val="af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Pr="00607955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</w:p>
    <w:p w:rsidR="00726357" w:rsidRPr="00607955" w:rsidRDefault="00726357" w:rsidP="00726357">
      <w:pPr>
        <w:pStyle w:val="af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726357" w:rsidRPr="00607955" w:rsidRDefault="00726357" w:rsidP="00726357">
      <w:pPr>
        <w:pStyle w:val="af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области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Л.Я. Придчина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26357" w:rsidRPr="00607955" w:rsidRDefault="00726357" w:rsidP="0072635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357" w:rsidRPr="00607955" w:rsidRDefault="00726357" w:rsidP="00726357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357" w:rsidRPr="00607955" w:rsidRDefault="00726357" w:rsidP="0072635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9A" w:rsidRPr="00623AA3" w:rsidRDefault="0059799A" w:rsidP="0059799A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99A" w:rsidRPr="00623AA3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62" w:rsidRDefault="006C3F62" w:rsidP="00A567A8">
      <w:r>
        <w:separator/>
      </w:r>
    </w:p>
  </w:endnote>
  <w:endnote w:type="continuationSeparator" w:id="1">
    <w:p w:rsidR="006C3F62" w:rsidRDefault="006C3F62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62" w:rsidRDefault="006C3F62"/>
  </w:footnote>
  <w:footnote w:type="continuationSeparator" w:id="1">
    <w:p w:rsidR="006C3F62" w:rsidRDefault="006C3F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CF2F64">
    <w:pPr>
      <w:pStyle w:val="a7"/>
      <w:framePr w:w="11959" w:h="163" w:wrap="none" w:vAnchor="text" w:hAnchor="page" w:x="-26" w:y="630"/>
      <w:shd w:val="clear" w:color="auto" w:fill="auto"/>
      <w:ind w:left="6168"/>
    </w:pPr>
    <w:r w:rsidRPr="00CF2F64">
      <w:fldChar w:fldCharType="begin"/>
    </w:r>
    <w:r w:rsidR="000D702A">
      <w:instrText xml:space="preserve"> PAGE \* MERGEFORMAT </w:instrText>
    </w:r>
    <w:r w:rsidRPr="00CF2F64">
      <w:fldChar w:fldCharType="separate"/>
    </w:r>
    <w:r w:rsidR="00726357" w:rsidRPr="00726357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7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6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5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26E6"/>
    <w:rsid w:val="00983E9D"/>
    <w:rsid w:val="0098526F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F018CE"/>
    <w:rsid w:val="00F041E7"/>
    <w:rsid w:val="00F0472C"/>
    <w:rsid w:val="00F10716"/>
    <w:rsid w:val="00F13A66"/>
    <w:rsid w:val="00F3038C"/>
    <w:rsid w:val="00F31287"/>
    <w:rsid w:val="00F31417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572B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388</cp:revision>
  <cp:lastPrinted>2024-01-24T02:50:00Z</cp:lastPrinted>
  <dcterms:created xsi:type="dcterms:W3CDTF">2016-03-16T08:02:00Z</dcterms:created>
  <dcterms:modified xsi:type="dcterms:W3CDTF">2024-05-14T08:20:00Z</dcterms:modified>
</cp:coreProperties>
</file>