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5A" w:rsidRDefault="00397EEA" w:rsidP="004A0B5A">
      <w:pPr>
        <w:pStyle w:val="11"/>
        <w:outlineLvl w:val="0"/>
        <w:rPr>
          <w:sz w:val="28"/>
          <w:szCs w:val="28"/>
        </w:rPr>
      </w:pPr>
      <w:r>
        <w:rPr>
          <w:i/>
          <w:color w:val="FF0000"/>
          <w:sz w:val="28"/>
          <w:szCs w:val="28"/>
        </w:rPr>
        <w:softHyphen/>
      </w:r>
      <w:r>
        <w:rPr>
          <w:i/>
          <w:color w:val="FF0000"/>
          <w:sz w:val="28"/>
          <w:szCs w:val="28"/>
        </w:rPr>
        <w:softHyphen/>
      </w:r>
      <w:r>
        <w:rPr>
          <w:i/>
          <w:color w:val="FF0000"/>
          <w:sz w:val="28"/>
          <w:szCs w:val="28"/>
        </w:rPr>
        <w:softHyphen/>
      </w:r>
      <w:r>
        <w:rPr>
          <w:i/>
          <w:color w:val="FF0000"/>
          <w:sz w:val="28"/>
          <w:szCs w:val="28"/>
        </w:rPr>
        <w:softHyphen/>
      </w:r>
      <w:r w:rsidR="004A0B5A" w:rsidRPr="004A0B5A">
        <w:rPr>
          <w:sz w:val="28"/>
          <w:szCs w:val="28"/>
        </w:rPr>
        <w:t xml:space="preserve"> </w:t>
      </w:r>
      <w:r w:rsidR="004A0B5A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4A0B5A" w:rsidRDefault="004A0B5A" w:rsidP="004A0B5A">
      <w:pPr>
        <w:jc w:val="center"/>
        <w:rPr>
          <w:b/>
          <w:bCs/>
          <w:spacing w:val="60"/>
          <w:sz w:val="48"/>
          <w:szCs w:val="48"/>
        </w:rPr>
      </w:pPr>
      <w:r>
        <w:rPr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4A0B5A" w:rsidTr="00CC428A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0B5A" w:rsidRDefault="004A0B5A" w:rsidP="00CC428A">
            <w:pPr>
              <w:jc w:val="center"/>
              <w:rPr>
                <w:b/>
                <w:bCs/>
                <w:spacing w:val="40"/>
                <w:sz w:val="4"/>
                <w:szCs w:val="4"/>
              </w:rPr>
            </w:pPr>
          </w:p>
        </w:tc>
      </w:tr>
      <w:tr w:rsidR="004A0B5A" w:rsidTr="00CC428A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4A0B5A" w:rsidRDefault="004A0B5A" w:rsidP="00CC428A">
            <w:pPr>
              <w:jc w:val="center"/>
              <w:rPr>
                <w:b/>
                <w:bCs/>
                <w:spacing w:val="40"/>
              </w:rPr>
            </w:pPr>
          </w:p>
        </w:tc>
      </w:tr>
      <w:tr w:rsidR="004A0B5A" w:rsidTr="00CC428A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0B5A" w:rsidRPr="00872C7C" w:rsidRDefault="00C3573C" w:rsidP="00CC42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20.07</w:t>
            </w:r>
            <w:r w:rsidR="004A0B5A">
              <w:rPr>
                <w:b/>
                <w:bCs/>
                <w:sz w:val="28"/>
                <w:szCs w:val="28"/>
              </w:rPr>
              <w:t>.2020</w:t>
            </w:r>
          </w:p>
        </w:tc>
        <w:tc>
          <w:tcPr>
            <w:tcW w:w="697" w:type="dxa"/>
          </w:tcPr>
          <w:p w:rsidR="004A0B5A" w:rsidRDefault="004A0B5A" w:rsidP="00CC42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4A0B5A" w:rsidRDefault="00C3573C" w:rsidP="00CC42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 71</w:t>
            </w:r>
            <w:r w:rsidR="004A0B5A">
              <w:rPr>
                <w:b/>
                <w:bCs/>
                <w:sz w:val="28"/>
                <w:szCs w:val="28"/>
              </w:rPr>
              <w:t xml:space="preserve">-п </w:t>
            </w:r>
          </w:p>
        </w:tc>
        <w:tc>
          <w:tcPr>
            <w:tcW w:w="2700" w:type="dxa"/>
          </w:tcPr>
          <w:p w:rsidR="004A0B5A" w:rsidRDefault="004A0B5A" w:rsidP="00CC42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4A0B5A" w:rsidRDefault="004A0B5A" w:rsidP="00CC428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>
              <w:rPr>
                <w:b/>
                <w:bCs/>
                <w:sz w:val="28"/>
                <w:szCs w:val="28"/>
              </w:rPr>
              <w:t>Большегривское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</w:tbl>
    <w:p w:rsidR="004A0B5A" w:rsidRPr="00132CDF" w:rsidRDefault="004A0B5A" w:rsidP="004A0B5A">
      <w:pPr>
        <w:rPr>
          <w:sz w:val="28"/>
          <w:szCs w:val="28"/>
        </w:rPr>
      </w:pPr>
    </w:p>
    <w:p w:rsidR="00554167" w:rsidRPr="00BD0DF4" w:rsidRDefault="00554167" w:rsidP="004A0B5A">
      <w:pPr>
        <w:pStyle w:val="a3"/>
        <w:ind w:firstLine="720"/>
        <w:rPr>
          <w:rFonts w:ascii="Times New Roman" w:hAnsi="Times New Roman"/>
          <w:sz w:val="28"/>
          <w:szCs w:val="28"/>
        </w:rPr>
      </w:pPr>
    </w:p>
    <w:p w:rsidR="00B737A2" w:rsidRPr="00FF0F5D" w:rsidRDefault="00B737A2" w:rsidP="00B737A2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F0F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внесении изменений в постановление Главы </w:t>
      </w:r>
      <w:proofErr w:type="spellStart"/>
      <w:r w:rsidRPr="00FF0F5D">
        <w:rPr>
          <w:rFonts w:ascii="Times New Roman" w:hAnsi="Times New Roman" w:cs="Times New Roman"/>
          <w:b w:val="0"/>
          <w:color w:val="auto"/>
          <w:sz w:val="28"/>
          <w:szCs w:val="28"/>
        </w:rPr>
        <w:t>Большегривского</w:t>
      </w:r>
      <w:proofErr w:type="spellEnd"/>
      <w:r w:rsidRPr="00FF0F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городского поселения от 17.12.2015 № 304-п «Об утверждении </w:t>
      </w:r>
      <w:proofErr w:type="spellStart"/>
      <w:r w:rsidRPr="00FF0F5D">
        <w:rPr>
          <w:rFonts w:ascii="Times New Roman" w:hAnsi="Times New Roman" w:cs="Times New Roman"/>
          <w:b w:val="0"/>
          <w:color w:val="auto"/>
          <w:sz w:val="28"/>
          <w:szCs w:val="28"/>
        </w:rPr>
        <w:t>админситартивного</w:t>
      </w:r>
      <w:proofErr w:type="spellEnd"/>
      <w:r w:rsidRPr="00FF0F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регламента предоставления муниципальной услуги «Предоставление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торгов»</w:t>
      </w:r>
    </w:p>
    <w:p w:rsidR="0039327B" w:rsidRPr="00BD0DF4" w:rsidRDefault="0039327B" w:rsidP="0039327B">
      <w:pPr>
        <w:rPr>
          <w:sz w:val="28"/>
          <w:szCs w:val="28"/>
        </w:rPr>
      </w:pPr>
    </w:p>
    <w:p w:rsidR="0099152F" w:rsidRPr="00BD0DF4" w:rsidRDefault="00D31022" w:rsidP="00D1330D">
      <w:pPr>
        <w:pStyle w:val="a3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D0DF4">
        <w:rPr>
          <w:rFonts w:ascii="Times New Roman" w:hAnsi="Times New Roman"/>
          <w:sz w:val="28"/>
          <w:szCs w:val="28"/>
        </w:rPr>
        <w:t xml:space="preserve">В соответствии </w:t>
      </w:r>
      <w:r w:rsidR="00081F0B" w:rsidRPr="00BD0DF4">
        <w:rPr>
          <w:rFonts w:ascii="Times New Roman" w:hAnsi="Times New Roman"/>
          <w:sz w:val="28"/>
          <w:szCs w:val="28"/>
        </w:rPr>
        <w:t>с Федеральным законом  от 06.10.2003 № 131 «Об общих принципах организации местного самоуправления в Российской Федерации»</w:t>
      </w:r>
      <w:r w:rsidR="0039327B" w:rsidRPr="00BD0DF4">
        <w:rPr>
          <w:rFonts w:ascii="Times New Roman" w:hAnsi="Times New Roman"/>
          <w:sz w:val="28"/>
          <w:szCs w:val="28"/>
          <w:lang w:eastAsia="ru-RU"/>
        </w:rPr>
        <w:t>, Земельным кодексом</w:t>
      </w:r>
      <w:r w:rsidR="00081F0B" w:rsidRPr="00BD0DF4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="00287216" w:rsidRPr="00BD0DF4">
        <w:rPr>
          <w:rFonts w:ascii="Times New Roman" w:hAnsi="Times New Roman"/>
          <w:sz w:val="28"/>
          <w:szCs w:val="28"/>
          <w:lang w:eastAsia="ru-RU"/>
        </w:rPr>
        <w:t>руководствуясь У</w:t>
      </w:r>
      <w:r w:rsidR="00762040" w:rsidRPr="00BD0DF4">
        <w:rPr>
          <w:rFonts w:ascii="Times New Roman" w:hAnsi="Times New Roman"/>
          <w:sz w:val="28"/>
          <w:szCs w:val="28"/>
          <w:lang w:eastAsia="ru-RU"/>
        </w:rPr>
        <w:t xml:space="preserve">ставом </w:t>
      </w:r>
      <w:proofErr w:type="spellStart"/>
      <w:r w:rsidR="00B737A2" w:rsidRPr="00FF0F5D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="00B737A2" w:rsidRPr="00FF0F5D">
        <w:rPr>
          <w:rFonts w:ascii="Times New Roman" w:hAnsi="Times New Roman"/>
          <w:sz w:val="28"/>
          <w:szCs w:val="28"/>
        </w:rPr>
        <w:t xml:space="preserve"> городского</w:t>
      </w:r>
      <w:r w:rsidR="00762040" w:rsidRPr="00BD0DF4">
        <w:rPr>
          <w:rFonts w:ascii="Times New Roman" w:hAnsi="Times New Roman"/>
          <w:sz w:val="28"/>
          <w:szCs w:val="28"/>
          <w:lang w:eastAsia="ru-RU"/>
        </w:rPr>
        <w:t xml:space="preserve"> поселения,</w:t>
      </w:r>
      <w:r w:rsidRPr="00BD0DF4">
        <w:rPr>
          <w:rFonts w:ascii="Times New Roman" w:hAnsi="Times New Roman"/>
          <w:sz w:val="28"/>
          <w:szCs w:val="28"/>
        </w:rPr>
        <w:t xml:space="preserve"> </w:t>
      </w:r>
      <w:r w:rsidR="0099152F" w:rsidRPr="00BD0DF4">
        <w:rPr>
          <w:rFonts w:ascii="Times New Roman" w:hAnsi="Times New Roman"/>
          <w:sz w:val="28"/>
          <w:szCs w:val="28"/>
        </w:rPr>
        <w:t>ПОСТАНОВЛЯЮ:</w:t>
      </w:r>
    </w:p>
    <w:p w:rsidR="00B110B1" w:rsidRPr="00B737A2" w:rsidRDefault="002F2CCB" w:rsidP="00061CB2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="0099152F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110B1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</w:t>
      </w:r>
      <w:r w:rsidR="00FE3F0A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административный регламент по предоставлению муниципальной услуги «</w:t>
      </w:r>
      <w:r w:rsidR="00B737A2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>Предоставление земельного участка, находящегося в муниципальной собственности, земельного участка, государственная собственность на который не разграничена, без проведения торгов</w:t>
      </w:r>
      <w:r w:rsidR="00FE3F0A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», утвержденный </w:t>
      </w:r>
      <w:r w:rsidR="00B110B1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</w:t>
      </w:r>
      <w:r w:rsidR="00FE3F0A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B110B1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</w:t>
      </w:r>
      <w:r w:rsidR="00061CB2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лавы </w:t>
      </w:r>
      <w:proofErr w:type="spellStart"/>
      <w:r w:rsidR="00B737A2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>Большегривского</w:t>
      </w:r>
      <w:proofErr w:type="spellEnd"/>
      <w:r w:rsidR="00B737A2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городского</w:t>
      </w:r>
      <w:r w:rsidR="00B737A2" w:rsidRPr="00B737A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61CB2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поселения от </w:t>
      </w:r>
      <w:r w:rsidR="00B737A2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17.12.2015 № 304-п, </w:t>
      </w:r>
      <w:r w:rsidR="00B110B1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>внести следующие изменения:</w:t>
      </w:r>
    </w:p>
    <w:p w:rsidR="00FE3F0A" w:rsidRPr="00B737A2" w:rsidRDefault="00B110B1" w:rsidP="00061CB2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1) </w:t>
      </w:r>
      <w:r w:rsidR="00FE3F0A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2A0724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пункт</w:t>
      </w:r>
      <w:r w:rsidR="00FE3F0A" w:rsidRPr="00B737A2">
        <w:rPr>
          <w:rFonts w:ascii="Times New Roman" w:hAnsi="Times New Roman" w:cs="Times New Roman"/>
          <w:b w:val="0"/>
          <w:color w:val="auto"/>
          <w:sz w:val="28"/>
          <w:szCs w:val="28"/>
        </w:rPr>
        <w:t>е 29:</w:t>
      </w:r>
    </w:p>
    <w:p w:rsidR="00B110B1" w:rsidRPr="004573B3" w:rsidRDefault="00FE3F0A" w:rsidP="00061CB2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4573B3">
        <w:rPr>
          <w:rFonts w:ascii="Times New Roman" w:hAnsi="Times New Roman" w:cs="Times New Roman"/>
          <w:b w:val="0"/>
          <w:color w:val="auto"/>
          <w:sz w:val="28"/>
          <w:szCs w:val="28"/>
        </w:rPr>
        <w:t>а) подпункт 5 изложить в следующей редакции:</w:t>
      </w:r>
    </w:p>
    <w:p w:rsidR="002A0724" w:rsidRPr="004573B3" w:rsidRDefault="002A0724" w:rsidP="002A0724">
      <w:pPr>
        <w:jc w:val="both"/>
        <w:rPr>
          <w:sz w:val="28"/>
          <w:szCs w:val="28"/>
        </w:rPr>
      </w:pPr>
      <w:r w:rsidRPr="004573B3">
        <w:tab/>
      </w:r>
      <w:r w:rsidRPr="004573B3">
        <w:rPr>
          <w:sz w:val="28"/>
          <w:szCs w:val="28"/>
        </w:rPr>
        <w:t>«</w:t>
      </w:r>
      <w:r w:rsidR="00FE3F0A" w:rsidRPr="004573B3">
        <w:rPr>
          <w:sz w:val="28"/>
          <w:szCs w:val="28"/>
        </w:rPr>
        <w:t xml:space="preserve">5) </w:t>
      </w:r>
      <w:r w:rsidR="00FE3F0A" w:rsidRPr="004573B3">
        <w:rPr>
          <w:sz w:val="28"/>
          <w:szCs w:val="28"/>
          <w:shd w:val="clear" w:color="auto" w:fill="FFFFFF"/>
        </w:rPr>
        <w:t xml:space="preserve">на указанном в заявлении о предоставлении земельного участка земельном участке </w:t>
      </w:r>
      <w:proofErr w:type="gramStart"/>
      <w:r w:rsidR="00FE3F0A" w:rsidRPr="004573B3">
        <w:rPr>
          <w:sz w:val="28"/>
          <w:szCs w:val="28"/>
          <w:shd w:val="clear" w:color="auto" w:fill="FFFFFF"/>
        </w:rPr>
        <w:t>расположены</w:t>
      </w:r>
      <w:proofErr w:type="gramEnd"/>
      <w:r w:rsidR="00FE3F0A" w:rsidRPr="004573B3">
        <w:rPr>
          <w:sz w:val="28"/>
          <w:szCs w:val="28"/>
          <w:shd w:val="clear" w:color="auto" w:fill="FFFFFF"/>
        </w:rPr>
        <w:t xml:space="preserve"> здание, сооружение, объект незавершенного </w:t>
      </w:r>
      <w:proofErr w:type="gramStart"/>
      <w:r w:rsidR="00FE3F0A" w:rsidRPr="004573B3">
        <w:rPr>
          <w:sz w:val="28"/>
          <w:szCs w:val="28"/>
          <w:shd w:val="clear" w:color="auto" w:fill="FFFFFF"/>
        </w:rPr>
        <w:t xml:space="preserve">строительства, находящиеся в государственной или муниципальной собственности, за исключением случаев, </w:t>
      </w:r>
      <w:r w:rsidRPr="004573B3">
        <w:rPr>
          <w:sz w:val="28"/>
          <w:szCs w:val="28"/>
          <w:shd w:val="clear" w:color="auto" w:fill="FFFFFF"/>
        </w:rPr>
        <w:t>если на земельном участке расположены 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 </w:t>
      </w:r>
      <w:hyperlink r:id="rId5" w:anchor="/document/12124624/entry/3936" w:history="1">
        <w:r w:rsidRPr="004573B3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статьей 39.36</w:t>
        </w:r>
      </w:hyperlink>
      <w:r w:rsidRPr="004573B3">
        <w:rPr>
          <w:sz w:val="28"/>
          <w:szCs w:val="28"/>
          <w:shd w:val="clear" w:color="auto" w:fill="FFFFFF"/>
        </w:rPr>
        <w:t> Земельного Кодекса РФ, либо с заявлением о предоставлении земельного участка обратился правообладатель этих здания, сооружения, помещений в них, этого объекта</w:t>
      </w:r>
      <w:proofErr w:type="gramEnd"/>
      <w:r w:rsidRPr="004573B3">
        <w:rPr>
          <w:sz w:val="28"/>
          <w:szCs w:val="28"/>
          <w:shd w:val="clear" w:color="auto" w:fill="FFFFFF"/>
        </w:rPr>
        <w:t xml:space="preserve"> незавершенного строительства</w:t>
      </w:r>
      <w:proofErr w:type="gramStart"/>
      <w:r w:rsidRPr="004573B3">
        <w:rPr>
          <w:sz w:val="28"/>
          <w:szCs w:val="28"/>
          <w:shd w:val="clear" w:color="auto" w:fill="FFFFFF"/>
        </w:rPr>
        <w:t>;»</w:t>
      </w:r>
      <w:proofErr w:type="gramEnd"/>
      <w:r w:rsidRPr="004573B3">
        <w:rPr>
          <w:sz w:val="28"/>
          <w:szCs w:val="28"/>
          <w:shd w:val="clear" w:color="auto" w:fill="FFFFFF"/>
        </w:rPr>
        <w:t>;</w:t>
      </w:r>
    </w:p>
    <w:p w:rsidR="005C0BF7" w:rsidRPr="004573B3" w:rsidRDefault="00FE3F0A" w:rsidP="00061CB2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573B3">
        <w:rPr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 w:rsidR="00B110B1" w:rsidRPr="004573B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) </w:t>
      </w:r>
      <w:r w:rsidR="0039327B" w:rsidRPr="004573B3">
        <w:rPr>
          <w:rFonts w:ascii="Times New Roman" w:hAnsi="Times New Roman" w:cs="Times New Roman"/>
          <w:b w:val="0"/>
          <w:color w:val="auto"/>
          <w:sz w:val="28"/>
          <w:szCs w:val="28"/>
        </w:rPr>
        <w:t>дополнить подпунктом 14.1 следующего содержания</w:t>
      </w:r>
      <w:r w:rsidR="005C0BF7" w:rsidRPr="004573B3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0B3446" w:rsidRPr="004573B3" w:rsidRDefault="005C0BF7" w:rsidP="000B344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4573B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«14.1) </w:t>
      </w:r>
      <w:r w:rsidRPr="004573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испрашиваемый земельный участок полностью расположен в границах зоны с особыми условиями использования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пред</w:t>
      </w:r>
      <w:r w:rsidR="000B3446" w:rsidRPr="004573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оставлении земельного участка</w:t>
      </w:r>
      <w:proofErr w:type="gramStart"/>
      <w:r w:rsidR="000B3446" w:rsidRPr="004573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;»</w:t>
      </w:r>
      <w:proofErr w:type="gramEnd"/>
      <w:r w:rsidR="000B3446" w:rsidRPr="004573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;</w:t>
      </w:r>
    </w:p>
    <w:p w:rsidR="000B3446" w:rsidRPr="004573B3" w:rsidRDefault="000B3446" w:rsidP="000B3446">
      <w:pPr>
        <w:rPr>
          <w:sz w:val="28"/>
          <w:szCs w:val="28"/>
        </w:rPr>
      </w:pPr>
      <w:r w:rsidRPr="004573B3">
        <w:tab/>
      </w:r>
      <w:r w:rsidRPr="004573B3">
        <w:rPr>
          <w:sz w:val="28"/>
          <w:szCs w:val="28"/>
        </w:rPr>
        <w:t>в) подпункт 24 пункта 29 изложить в следующей редакции:</w:t>
      </w:r>
    </w:p>
    <w:p w:rsidR="000B3446" w:rsidRPr="000B3446" w:rsidRDefault="000B3446" w:rsidP="000B3446">
      <w:pPr>
        <w:pStyle w:val="ConsPlusNormal"/>
        <w:ind w:firstLine="709"/>
        <w:jc w:val="both"/>
      </w:pPr>
      <w:r w:rsidRPr="000B3446">
        <w:rPr>
          <w:sz w:val="28"/>
          <w:szCs w:val="28"/>
        </w:rPr>
        <w:lastRenderedPageBreak/>
        <w:t>«</w:t>
      </w:r>
      <w:r w:rsidRPr="000B3446">
        <w:rPr>
          <w:rFonts w:ascii="Times New Roman" w:hAnsi="Times New Roman" w:cs="Times New Roman"/>
          <w:sz w:val="28"/>
          <w:szCs w:val="28"/>
        </w:rPr>
        <w:t>24) границы земельного участка, указанного в заявлен</w:t>
      </w:r>
      <w:proofErr w:type="gramStart"/>
      <w:r w:rsidRPr="000B3446">
        <w:rPr>
          <w:rFonts w:ascii="Times New Roman" w:hAnsi="Times New Roman" w:cs="Times New Roman"/>
          <w:sz w:val="28"/>
          <w:szCs w:val="28"/>
        </w:rPr>
        <w:t>ии о е</w:t>
      </w:r>
      <w:proofErr w:type="gramEnd"/>
      <w:r w:rsidRPr="000B3446">
        <w:rPr>
          <w:rFonts w:ascii="Times New Roman" w:hAnsi="Times New Roman" w:cs="Times New Roman"/>
          <w:sz w:val="28"/>
          <w:szCs w:val="28"/>
        </w:rPr>
        <w:t>го предоставлении, подлежат уточнению в соответствии с Федеральным законом «О государств</w:t>
      </w:r>
      <w:r>
        <w:rPr>
          <w:rFonts w:ascii="Times New Roman" w:hAnsi="Times New Roman" w:cs="Times New Roman"/>
          <w:sz w:val="28"/>
          <w:szCs w:val="28"/>
        </w:rPr>
        <w:t>енной регистрации недвижимости».</w:t>
      </w:r>
    </w:p>
    <w:p w:rsidR="00795291" w:rsidRPr="00BD0DF4" w:rsidRDefault="00795291" w:rsidP="00081F0B">
      <w:pPr>
        <w:pStyle w:val="a3"/>
        <w:tabs>
          <w:tab w:val="left" w:pos="993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BD0DF4">
        <w:rPr>
          <w:rFonts w:ascii="Times New Roman" w:hAnsi="Times New Roman"/>
          <w:sz w:val="28"/>
          <w:szCs w:val="28"/>
        </w:rPr>
        <w:t>2. Обнар</w:t>
      </w:r>
      <w:r w:rsidR="006A7607" w:rsidRPr="00BD0DF4">
        <w:rPr>
          <w:rFonts w:ascii="Times New Roman" w:hAnsi="Times New Roman"/>
          <w:sz w:val="28"/>
          <w:szCs w:val="28"/>
        </w:rPr>
        <w:t>одовать настоящее постановление</w:t>
      </w:r>
      <w:r w:rsidRPr="00BD0DF4">
        <w:rPr>
          <w:rFonts w:ascii="Times New Roman" w:hAnsi="Times New Roman"/>
          <w:sz w:val="28"/>
          <w:szCs w:val="28"/>
        </w:rPr>
        <w:t xml:space="preserve"> на информационных </w:t>
      </w:r>
      <w:r w:rsidR="006A7607" w:rsidRPr="00BD0DF4">
        <w:rPr>
          <w:rFonts w:ascii="Times New Roman" w:hAnsi="Times New Roman"/>
          <w:sz w:val="28"/>
          <w:szCs w:val="28"/>
        </w:rPr>
        <w:t xml:space="preserve">стендах, расположенных на территории </w:t>
      </w:r>
      <w:r w:rsidR="00B737A2" w:rsidRPr="00B737A2">
        <w:rPr>
          <w:rFonts w:ascii="Times New Roman" w:hAnsi="Times New Roman"/>
          <w:sz w:val="28"/>
          <w:szCs w:val="28"/>
        </w:rPr>
        <w:t>городского</w:t>
      </w:r>
      <w:r w:rsidR="006A7607" w:rsidRPr="00BD0DF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A7607" w:rsidRPr="002A0724">
        <w:rPr>
          <w:rFonts w:ascii="Times New Roman" w:hAnsi="Times New Roman"/>
          <w:sz w:val="28"/>
          <w:szCs w:val="28"/>
        </w:rPr>
        <w:t>поселения</w:t>
      </w:r>
      <w:r w:rsidR="006A7607" w:rsidRPr="00BD0DF4">
        <w:rPr>
          <w:rFonts w:ascii="Times New Roman" w:hAnsi="Times New Roman"/>
          <w:sz w:val="28"/>
          <w:szCs w:val="28"/>
        </w:rPr>
        <w:t xml:space="preserve"> </w:t>
      </w:r>
      <w:r w:rsidRPr="00BD0DF4">
        <w:rPr>
          <w:rFonts w:ascii="Times New Roman" w:hAnsi="Times New Roman"/>
          <w:sz w:val="28"/>
          <w:szCs w:val="28"/>
        </w:rPr>
        <w:t>и обеспечить размещение его текста на официальном сайте органов местного самоуправления</w:t>
      </w:r>
      <w:r w:rsidR="00892ECE" w:rsidRPr="00BD0DF4">
        <w:rPr>
          <w:rFonts w:ascii="Times New Roman" w:hAnsi="Times New Roman"/>
          <w:sz w:val="28"/>
          <w:szCs w:val="28"/>
        </w:rPr>
        <w:t xml:space="preserve"> </w:t>
      </w:r>
      <w:r w:rsidR="00B737A2" w:rsidRPr="00B737A2">
        <w:rPr>
          <w:rFonts w:ascii="Times New Roman" w:hAnsi="Times New Roman"/>
          <w:sz w:val="28"/>
          <w:szCs w:val="28"/>
        </w:rPr>
        <w:t>городского</w:t>
      </w:r>
      <w:r w:rsidR="006A7607" w:rsidRPr="00BD0DF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A7607" w:rsidRPr="002A0724">
        <w:rPr>
          <w:rFonts w:ascii="Times New Roman" w:hAnsi="Times New Roman"/>
          <w:sz w:val="28"/>
          <w:szCs w:val="28"/>
        </w:rPr>
        <w:t>поселения</w:t>
      </w:r>
      <w:r w:rsidRPr="002A0724">
        <w:rPr>
          <w:rFonts w:ascii="Times New Roman" w:hAnsi="Times New Roman"/>
          <w:sz w:val="28"/>
          <w:szCs w:val="28"/>
        </w:rPr>
        <w:t>.</w:t>
      </w:r>
    </w:p>
    <w:p w:rsidR="00795291" w:rsidRPr="00BD0DF4" w:rsidRDefault="00974ADC" w:rsidP="006A7607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BD0DF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795291" w:rsidRPr="00BD0DF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95291" w:rsidRPr="00BD0DF4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E84BCC" w:rsidRPr="00BD0DF4">
        <w:rPr>
          <w:rFonts w:ascii="Times New Roman" w:hAnsi="Times New Roman"/>
          <w:sz w:val="28"/>
          <w:szCs w:val="28"/>
        </w:rPr>
        <w:t xml:space="preserve">возложить на </w:t>
      </w:r>
      <w:r w:rsidR="006D401B" w:rsidRPr="00BD0DF4">
        <w:rPr>
          <w:rFonts w:ascii="Times New Roman" w:hAnsi="Times New Roman"/>
          <w:sz w:val="28"/>
          <w:szCs w:val="28"/>
        </w:rPr>
        <w:t xml:space="preserve">заместителя </w:t>
      </w:r>
      <w:r w:rsidR="00916456" w:rsidRPr="00BD0DF4">
        <w:rPr>
          <w:rFonts w:ascii="Times New Roman" w:hAnsi="Times New Roman"/>
          <w:sz w:val="28"/>
          <w:szCs w:val="28"/>
        </w:rPr>
        <w:t>Г</w:t>
      </w:r>
      <w:r w:rsidR="006D401B" w:rsidRPr="00BD0DF4">
        <w:rPr>
          <w:rFonts w:ascii="Times New Roman" w:hAnsi="Times New Roman"/>
          <w:sz w:val="28"/>
          <w:szCs w:val="28"/>
        </w:rPr>
        <w:t xml:space="preserve">лавы </w:t>
      </w:r>
      <w:proofErr w:type="spellStart"/>
      <w:r w:rsidR="00B737A2" w:rsidRPr="00FF0F5D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="00B737A2" w:rsidRPr="00FF0F5D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B737A2" w:rsidRPr="00FF0F5D">
        <w:rPr>
          <w:rFonts w:ascii="Times New Roman" w:hAnsi="Times New Roman"/>
          <w:sz w:val="28"/>
          <w:szCs w:val="28"/>
        </w:rPr>
        <w:t>Д.Т.Смайлову</w:t>
      </w:r>
      <w:proofErr w:type="spellEnd"/>
      <w:r w:rsidR="00B737A2" w:rsidRPr="00FF0F5D">
        <w:rPr>
          <w:rFonts w:ascii="Times New Roman" w:hAnsi="Times New Roman"/>
          <w:sz w:val="28"/>
          <w:szCs w:val="28"/>
        </w:rPr>
        <w:t>.</w:t>
      </w:r>
    </w:p>
    <w:p w:rsidR="00795291" w:rsidRPr="00BD0DF4" w:rsidRDefault="00795291" w:rsidP="002F2CC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4ADC" w:rsidRPr="00BD0DF4" w:rsidRDefault="00974ADC" w:rsidP="002F2CCB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737A2" w:rsidRPr="00FF0F5D" w:rsidRDefault="00B737A2" w:rsidP="00B737A2">
      <w:pPr>
        <w:pStyle w:val="a3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F5D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FF0F5D">
        <w:rPr>
          <w:rFonts w:ascii="Times New Roman" w:hAnsi="Times New Roman"/>
          <w:sz w:val="28"/>
          <w:szCs w:val="28"/>
          <w:lang w:eastAsia="ru-RU"/>
        </w:rPr>
        <w:t>Большегривского</w:t>
      </w:r>
      <w:proofErr w:type="spellEnd"/>
    </w:p>
    <w:p w:rsidR="00B737A2" w:rsidRPr="00FF0F5D" w:rsidRDefault="00B737A2" w:rsidP="00B737A2">
      <w:pPr>
        <w:pStyle w:val="a3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F5D">
        <w:rPr>
          <w:rFonts w:ascii="Times New Roman" w:hAnsi="Times New Roman"/>
          <w:sz w:val="28"/>
          <w:szCs w:val="28"/>
          <w:lang w:eastAsia="ru-RU"/>
        </w:rPr>
        <w:t xml:space="preserve">городского поселения                                                               </w:t>
      </w:r>
      <w:proofErr w:type="spellStart"/>
      <w:r w:rsidRPr="00FF0F5D">
        <w:rPr>
          <w:rFonts w:ascii="Times New Roman" w:hAnsi="Times New Roman"/>
          <w:sz w:val="28"/>
          <w:szCs w:val="28"/>
          <w:lang w:eastAsia="ru-RU"/>
        </w:rPr>
        <w:t>Л.Я.Придчина</w:t>
      </w:r>
      <w:proofErr w:type="spellEnd"/>
    </w:p>
    <w:p w:rsidR="005C0BF7" w:rsidRPr="00BD0DF4" w:rsidRDefault="005C0BF7" w:rsidP="00B737A2">
      <w:pPr>
        <w:pStyle w:val="a3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5C0BF7" w:rsidRPr="00BD0DF4" w:rsidSect="003053A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2F65"/>
    <w:multiLevelType w:val="hybridMultilevel"/>
    <w:tmpl w:val="9DBA5EF6"/>
    <w:lvl w:ilvl="0" w:tplc="62A26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2C2B33"/>
    <w:multiLevelType w:val="hybridMultilevel"/>
    <w:tmpl w:val="ED42BF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5750EE"/>
    <w:multiLevelType w:val="hybridMultilevel"/>
    <w:tmpl w:val="23747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0415ECB"/>
    <w:multiLevelType w:val="hybridMultilevel"/>
    <w:tmpl w:val="98987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8BD5B3D"/>
    <w:multiLevelType w:val="hybridMultilevel"/>
    <w:tmpl w:val="EAD0B09A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4167"/>
    <w:rsid w:val="000036BB"/>
    <w:rsid w:val="000070B3"/>
    <w:rsid w:val="00061CB2"/>
    <w:rsid w:val="00081F0B"/>
    <w:rsid w:val="000875FA"/>
    <w:rsid w:val="000B3446"/>
    <w:rsid w:val="00197D70"/>
    <w:rsid w:val="001E0BA8"/>
    <w:rsid w:val="00203B32"/>
    <w:rsid w:val="0024793D"/>
    <w:rsid w:val="0026075E"/>
    <w:rsid w:val="00275E7F"/>
    <w:rsid w:val="00287216"/>
    <w:rsid w:val="002A0724"/>
    <w:rsid w:val="002F2CCB"/>
    <w:rsid w:val="003053AF"/>
    <w:rsid w:val="00354AD0"/>
    <w:rsid w:val="00366642"/>
    <w:rsid w:val="0039327B"/>
    <w:rsid w:val="00397EEA"/>
    <w:rsid w:val="003B18DC"/>
    <w:rsid w:val="003F6E39"/>
    <w:rsid w:val="00412778"/>
    <w:rsid w:val="0044381A"/>
    <w:rsid w:val="004573B3"/>
    <w:rsid w:val="00493128"/>
    <w:rsid w:val="004A0B5A"/>
    <w:rsid w:val="004C18A4"/>
    <w:rsid w:val="00516770"/>
    <w:rsid w:val="00554167"/>
    <w:rsid w:val="00577A86"/>
    <w:rsid w:val="0059641F"/>
    <w:rsid w:val="005C0BF7"/>
    <w:rsid w:val="005D73A3"/>
    <w:rsid w:val="00600935"/>
    <w:rsid w:val="00611921"/>
    <w:rsid w:val="00613408"/>
    <w:rsid w:val="006751AE"/>
    <w:rsid w:val="006A7607"/>
    <w:rsid w:val="006D401B"/>
    <w:rsid w:val="0076005D"/>
    <w:rsid w:val="00762040"/>
    <w:rsid w:val="00792C7D"/>
    <w:rsid w:val="00795291"/>
    <w:rsid w:val="007D1116"/>
    <w:rsid w:val="00812113"/>
    <w:rsid w:val="00830387"/>
    <w:rsid w:val="00872A25"/>
    <w:rsid w:val="00892ECE"/>
    <w:rsid w:val="008A400C"/>
    <w:rsid w:val="008D4642"/>
    <w:rsid w:val="008F073D"/>
    <w:rsid w:val="00916456"/>
    <w:rsid w:val="00930F89"/>
    <w:rsid w:val="00934AA7"/>
    <w:rsid w:val="00974ADC"/>
    <w:rsid w:val="00984394"/>
    <w:rsid w:val="0099152F"/>
    <w:rsid w:val="009E519E"/>
    <w:rsid w:val="00A106CD"/>
    <w:rsid w:val="00A323BE"/>
    <w:rsid w:val="00AE576A"/>
    <w:rsid w:val="00B07F7C"/>
    <w:rsid w:val="00B110B1"/>
    <w:rsid w:val="00B737A2"/>
    <w:rsid w:val="00BD0DF4"/>
    <w:rsid w:val="00C3573C"/>
    <w:rsid w:val="00CB08B5"/>
    <w:rsid w:val="00CB2AF7"/>
    <w:rsid w:val="00CE23EA"/>
    <w:rsid w:val="00D1330D"/>
    <w:rsid w:val="00D31022"/>
    <w:rsid w:val="00D86101"/>
    <w:rsid w:val="00E26312"/>
    <w:rsid w:val="00E263B6"/>
    <w:rsid w:val="00E4510E"/>
    <w:rsid w:val="00E50F09"/>
    <w:rsid w:val="00E50F4B"/>
    <w:rsid w:val="00E84BCC"/>
    <w:rsid w:val="00EF46CB"/>
    <w:rsid w:val="00EF7478"/>
    <w:rsid w:val="00F05463"/>
    <w:rsid w:val="00F75753"/>
    <w:rsid w:val="00F77F64"/>
    <w:rsid w:val="00F91565"/>
    <w:rsid w:val="00FE3F0A"/>
    <w:rsid w:val="00FE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416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16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55416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72A25"/>
    <w:rPr>
      <w:color w:val="0000FF"/>
      <w:u w:val="single"/>
    </w:rPr>
  </w:style>
  <w:style w:type="paragraph" w:customStyle="1" w:styleId="ConsPlusNormal">
    <w:name w:val="ConsPlusNormal"/>
    <w:rsid w:val="00F757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4A0B5A"/>
    <w:pPr>
      <w:keepNext/>
      <w:autoSpaceDE w:val="0"/>
      <w:autoSpaceDN w:val="0"/>
      <w:jc w:val="center"/>
    </w:pPr>
    <w:rPr>
      <w:b/>
      <w:bCs/>
      <w:spacing w:val="3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bileonline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Юрист-03</dc:creator>
  <cp:lastModifiedBy>Большегривское</cp:lastModifiedBy>
  <cp:revision>8</cp:revision>
  <cp:lastPrinted>2020-07-21T02:25:00Z</cp:lastPrinted>
  <dcterms:created xsi:type="dcterms:W3CDTF">2020-07-08T04:20:00Z</dcterms:created>
  <dcterms:modified xsi:type="dcterms:W3CDTF">2020-07-21T02:25:00Z</dcterms:modified>
</cp:coreProperties>
</file>